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^([\w-]+\.){3,8}request(\.[\w-]+){1,2}$)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partagé du patient transporté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qui est transporté. Ce n'est à remplir que lorsque l'on sait quel vecteur transporte quel patient. 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fr.health.samu440.patient.P23AZ59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Nom du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HubSante.statutVecteur)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41747-F375-4519-90BC-A770AD2034C3}"/>
</file>

<file path=customXml/itemProps3.xml><?xml version="1.0" encoding="utf-8"?>
<ds:datastoreItem xmlns:ds="http://schemas.openxmlformats.org/officeDocument/2006/customXml" ds:itemID="{B1C3F621-C769-4244-B0AE-3778E5672FA3}"/>
</file>

<file path=customXml/itemProps4.xml><?xml version="1.0" encoding="utf-8"?>
<ds:datastoreItem xmlns:ds="http://schemas.openxmlformats.org/officeDocument/2006/customXml" ds:itemID="{3AD989E8-FF42-453B-81FC-C050ED15DA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